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03" w:rsidRDefault="000B2D03" w:rsidP="000B2D03">
      <w:pPr>
        <w:jc w:val="right"/>
      </w:pPr>
      <w:r>
        <w:t>Приложение</w:t>
      </w:r>
    </w:p>
    <w:p w:rsidR="000B2D03" w:rsidRDefault="000B2D03" w:rsidP="000B2D03">
      <w:pPr>
        <w:ind w:left="5103"/>
        <w:jc w:val="right"/>
      </w:pPr>
    </w:p>
    <w:p w:rsidR="000B2D03" w:rsidRDefault="000B2D03" w:rsidP="000B2D03">
      <w:pPr>
        <w:ind w:left="5103"/>
        <w:jc w:val="right"/>
      </w:pPr>
      <w:r>
        <w:t xml:space="preserve">Утвержден </w:t>
      </w:r>
    </w:p>
    <w:p w:rsidR="000B2D03" w:rsidRDefault="000B2D03" w:rsidP="000B2D03">
      <w:pPr>
        <w:ind w:left="5103"/>
        <w:jc w:val="right"/>
      </w:pPr>
      <w:r>
        <w:t xml:space="preserve">постановлением Администрации </w:t>
      </w:r>
    </w:p>
    <w:p w:rsidR="000B2D03" w:rsidRDefault="000B2D03" w:rsidP="000B2D03">
      <w:pPr>
        <w:ind w:left="5103"/>
        <w:jc w:val="right"/>
      </w:pPr>
      <w:r>
        <w:t xml:space="preserve">муниципального образования </w:t>
      </w:r>
    </w:p>
    <w:p w:rsidR="000B2D03" w:rsidRDefault="000B2D03" w:rsidP="000B2D03">
      <w:pPr>
        <w:ind w:left="5103"/>
        <w:jc w:val="right"/>
      </w:pPr>
      <w:r>
        <w:t>поселок Ханымей</w:t>
      </w:r>
    </w:p>
    <w:p w:rsidR="000B2D03" w:rsidRDefault="000B2D03" w:rsidP="000B2D03">
      <w:pPr>
        <w:ind w:left="5103"/>
        <w:jc w:val="right"/>
      </w:pPr>
      <w:r>
        <w:t xml:space="preserve">от 14 сентября 2016 года   № </w:t>
      </w:r>
      <w:r>
        <w:rPr>
          <w:u w:val="single"/>
        </w:rPr>
        <w:t>149</w:t>
      </w:r>
    </w:p>
    <w:p w:rsidR="000B2D03" w:rsidRDefault="000B2D03" w:rsidP="000B2D03">
      <w:pPr>
        <w:rPr>
          <w:caps/>
        </w:rPr>
      </w:pPr>
    </w:p>
    <w:p w:rsidR="000B2D03" w:rsidRDefault="000B2D03" w:rsidP="000B2D03">
      <w:pPr>
        <w:rPr>
          <w:caps/>
        </w:rPr>
      </w:pPr>
    </w:p>
    <w:p w:rsidR="000B2D03" w:rsidRDefault="000B2D03" w:rsidP="000B2D03">
      <w:pPr>
        <w:jc w:val="center"/>
      </w:pPr>
      <w:r>
        <w:t>ПОРЯДОК</w:t>
      </w:r>
    </w:p>
    <w:p w:rsidR="000B2D03" w:rsidRDefault="000B2D03" w:rsidP="000B2D03">
      <w:pPr>
        <w:jc w:val="center"/>
      </w:pPr>
      <w:r>
        <w:t>списания в 2016 году начисленных сумм неустоек (штрафов, пеней) по контрактам, заключенным в целях обеспечения нужд муниципального образования поселок Ханымей</w:t>
      </w:r>
    </w:p>
    <w:p w:rsidR="000B2D03" w:rsidRDefault="000B2D03" w:rsidP="000B2D03">
      <w:pPr>
        <w:pStyle w:val="ConsPlusNormal"/>
        <w:jc w:val="both"/>
        <w:outlineLvl w:val="0"/>
        <w:rPr>
          <w:color w:val="000000"/>
        </w:rPr>
      </w:pPr>
    </w:p>
    <w:p w:rsidR="000B2D03" w:rsidRDefault="000B2D03" w:rsidP="000B2D03">
      <w:pPr>
        <w:pStyle w:val="a5"/>
        <w:numPr>
          <w:ilvl w:val="0"/>
          <w:numId w:val="1"/>
        </w:numPr>
        <w:tabs>
          <w:tab w:val="left" w:pos="851"/>
          <w:tab w:val="left" w:pos="1102"/>
          <w:tab w:val="left" w:pos="2919"/>
          <w:tab w:val="left" w:pos="3862"/>
          <w:tab w:val="left" w:pos="6664"/>
          <w:tab w:val="left" w:pos="6982"/>
          <w:tab w:val="left" w:pos="7431"/>
          <w:tab w:val="left" w:pos="9332"/>
        </w:tabs>
        <w:spacing w:before="0"/>
        <w:ind w:left="0" w:right="0" w:firstLine="567"/>
        <w:rPr>
          <w:sz w:val="24"/>
          <w:szCs w:val="24"/>
          <w:lang w:val="ru-RU"/>
        </w:rPr>
      </w:pPr>
      <w:proofErr w:type="gramStart"/>
      <w:r>
        <w:rPr>
          <w:sz w:val="24"/>
          <w:szCs w:val="24"/>
          <w:lang w:val="ru-RU"/>
        </w:rPr>
        <w:t>Настоящий Порядок устанавливает правила списания в 2016 году начисленных сумм неустоек (штрафов, пеней) по контрактам, заключенным в целях</w:t>
      </w:r>
      <w:r>
        <w:rPr>
          <w:sz w:val="24"/>
          <w:szCs w:val="24"/>
          <w:lang w:val="ru-RU"/>
        </w:rPr>
        <w:tab/>
        <w:t xml:space="preserve">обеспечения нужд </w:t>
      </w:r>
      <w:r>
        <w:rPr>
          <w:sz w:val="24"/>
          <w:szCs w:val="24"/>
          <w:u w:val="single"/>
          <w:lang w:val="ru-RU"/>
        </w:rPr>
        <w:t xml:space="preserve"> </w:t>
      </w:r>
      <w:r>
        <w:rPr>
          <w:sz w:val="24"/>
          <w:szCs w:val="24"/>
          <w:lang w:val="ru-RU"/>
        </w:rPr>
        <w:t>муниципального образования поселок Ханымей в соответствии</w:t>
      </w:r>
      <w:r>
        <w:rPr>
          <w:sz w:val="24"/>
          <w:szCs w:val="24"/>
          <w:lang w:val="ru-RU"/>
        </w:rPr>
        <w:tab/>
        <w:t>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исполнение обязательств по которым (за исключением гарантийных обязательств</w:t>
      </w:r>
      <w:proofErr w:type="gramEnd"/>
      <w:r>
        <w:rPr>
          <w:sz w:val="24"/>
          <w:szCs w:val="24"/>
          <w:lang w:val="ru-RU"/>
        </w:rPr>
        <w:t>) завершено поставщиком (подрядчиком, исполнителем) в полном объеме в 2016 году, за исключением контрактов, условия которых изменены в 2015 и (или) 2016 годах в соответствии с частью 1.1 статьи 95 Федерального закона № 44-ФЗ.</w:t>
      </w:r>
    </w:p>
    <w:p w:rsidR="000B2D03" w:rsidRDefault="000B2D03" w:rsidP="000B2D03">
      <w:pPr>
        <w:pStyle w:val="a5"/>
        <w:tabs>
          <w:tab w:val="left" w:pos="851"/>
          <w:tab w:val="left" w:pos="1343"/>
        </w:tabs>
        <w:ind w:left="0" w:right="0" w:firstLine="567"/>
        <w:rPr>
          <w:sz w:val="24"/>
          <w:szCs w:val="24"/>
          <w:lang w:val="ru-RU"/>
        </w:rPr>
      </w:pPr>
      <w:r>
        <w:rPr>
          <w:sz w:val="24"/>
          <w:szCs w:val="24"/>
          <w:lang w:val="ru-RU"/>
        </w:rPr>
        <w:t>2.</w:t>
      </w:r>
      <w:r>
        <w:rPr>
          <w:sz w:val="24"/>
          <w:szCs w:val="24"/>
          <w:lang w:val="ru-RU"/>
        </w:rPr>
        <w:tab/>
        <w:t>Списание начисленных сумм неустоек (штрафов, пеней) осуществляется заказчиком в следующих случаях:</w:t>
      </w:r>
    </w:p>
    <w:p w:rsidR="000B2D03" w:rsidRDefault="000B2D03" w:rsidP="000B2D03">
      <w:pPr>
        <w:pStyle w:val="a5"/>
        <w:tabs>
          <w:tab w:val="left" w:pos="851"/>
          <w:tab w:val="left" w:pos="1343"/>
        </w:tabs>
        <w:ind w:left="0" w:right="0" w:firstLine="567"/>
        <w:rPr>
          <w:sz w:val="24"/>
          <w:szCs w:val="24"/>
          <w:lang w:val="ru-RU"/>
        </w:rPr>
      </w:pPr>
      <w:r>
        <w:rPr>
          <w:sz w:val="24"/>
          <w:szCs w:val="24"/>
          <w:lang w:val="ru-RU"/>
        </w:rPr>
        <w:t>а) если общая сумма неуплаченных неустоек (штрафов, пеней) не превышает 5 процентов цены контракта, заказчик осуществляет списание неуплаченных сумм неустоек (штрафов, пеней);</w:t>
      </w:r>
    </w:p>
    <w:p w:rsidR="000B2D03" w:rsidRDefault="000B2D03" w:rsidP="000B2D03">
      <w:pPr>
        <w:pStyle w:val="a5"/>
        <w:tabs>
          <w:tab w:val="left" w:pos="851"/>
          <w:tab w:val="left" w:pos="1343"/>
        </w:tabs>
        <w:spacing w:before="0"/>
        <w:ind w:left="0" w:right="0" w:firstLine="567"/>
        <w:rPr>
          <w:sz w:val="24"/>
          <w:szCs w:val="24"/>
          <w:lang w:val="ru-RU"/>
        </w:rPr>
      </w:pPr>
      <w:r>
        <w:rPr>
          <w:sz w:val="24"/>
          <w:szCs w:val="24"/>
          <w:lang w:val="ru-RU"/>
        </w:rPr>
        <w:t>б) если общая сумма неуплаченных неустоек (штрафов, пеней) превышает 5 процентов цены контракта, но составляет не более 20 процентов цены контракта, заказчик осуществляет списание 50 процентов неуплаченных сумм неустоек (штрафов, пеней) при условии уплаты 50 процентов неуплаченных сумм неустоек (штрафов, пеней) до окончания текущего года.</w:t>
      </w:r>
    </w:p>
    <w:p w:rsidR="000B2D03" w:rsidRDefault="000B2D03" w:rsidP="000B2D03">
      <w:pPr>
        <w:pStyle w:val="a5"/>
        <w:numPr>
          <w:ilvl w:val="0"/>
          <w:numId w:val="2"/>
        </w:numPr>
        <w:tabs>
          <w:tab w:val="left" w:pos="709"/>
          <w:tab w:val="left" w:pos="851"/>
        </w:tabs>
        <w:spacing w:before="0"/>
        <w:ind w:left="0" w:right="0" w:firstLine="567"/>
        <w:rPr>
          <w:sz w:val="24"/>
          <w:szCs w:val="24"/>
          <w:lang w:val="ru-RU"/>
        </w:rPr>
      </w:pPr>
      <w:r>
        <w:rPr>
          <w:sz w:val="24"/>
          <w:szCs w:val="24"/>
          <w:lang w:val="ru-RU"/>
        </w:rPr>
        <w:t>Задолженность поставщика (подрядчика, исполнителя) перед заказчиком подтверждается актом сверки, подписанным сторонами муниципального контракта.</w:t>
      </w:r>
    </w:p>
    <w:p w:rsidR="000B2D03" w:rsidRDefault="000B2D03" w:rsidP="000B2D03">
      <w:pPr>
        <w:pStyle w:val="a4"/>
        <w:numPr>
          <w:ilvl w:val="0"/>
          <w:numId w:val="2"/>
        </w:numPr>
        <w:tabs>
          <w:tab w:val="left" w:pos="851"/>
        </w:tabs>
        <w:ind w:left="0" w:firstLine="567"/>
        <w:jc w:val="both"/>
      </w:pPr>
      <w:r>
        <w:t xml:space="preserve">При наличии документа о подтвержденных сторонами контракта расчетах по начисленной и неуплаченной задолженности, указанного в </w:t>
      </w:r>
      <w:hyperlink r:id="rId6" w:anchor="2" w:history="1">
        <w:r>
          <w:rPr>
            <w:rStyle w:val="a3"/>
          </w:rPr>
          <w:t xml:space="preserve">пункте </w:t>
        </w:r>
      </w:hyperlink>
      <w:r>
        <w:t>3 настоящего порядка, основанием для принятия решения о списании задолженности является:</w:t>
      </w:r>
    </w:p>
    <w:p w:rsidR="000B2D03" w:rsidRDefault="000B2D03" w:rsidP="000B2D03">
      <w:pPr>
        <w:pStyle w:val="a4"/>
        <w:numPr>
          <w:ilvl w:val="1"/>
          <w:numId w:val="2"/>
        </w:numPr>
        <w:tabs>
          <w:tab w:val="left" w:pos="851"/>
          <w:tab w:val="left" w:pos="993"/>
        </w:tabs>
        <w:ind w:left="0" w:firstLine="567"/>
        <w:jc w:val="both"/>
      </w:pPr>
      <w:r>
        <w:t>В случае</w:t>
      </w:r>
      <w:proofErr w:type="gramStart"/>
      <w:r>
        <w:t>,</w:t>
      </w:r>
      <w:proofErr w:type="gramEnd"/>
      <w:r>
        <w:t xml:space="preserve"> если общая сумма неуплаченной задолженности не превышает 5 процентов цены контракта - исполнение поставщиком (подрядчиком, исполнителем) обязательств (за исключением гарантийных обязательств) по контракту в полном объеме в 2015 или 2016 годах, подтвержденное актом о приемке товаров, работ, услуг, или иным документом, содержащим сведения об исполнении обязательства поставщиком (подрядчиком, исполнителем).</w:t>
      </w:r>
    </w:p>
    <w:p w:rsidR="000B2D03" w:rsidRDefault="000B2D03" w:rsidP="000B2D03">
      <w:pPr>
        <w:pStyle w:val="a4"/>
        <w:numPr>
          <w:ilvl w:val="1"/>
          <w:numId w:val="2"/>
        </w:numPr>
        <w:tabs>
          <w:tab w:val="left" w:pos="851"/>
          <w:tab w:val="left" w:pos="993"/>
        </w:tabs>
        <w:ind w:left="0" w:firstLine="567"/>
        <w:jc w:val="both"/>
        <w:rPr>
          <w:color w:val="FF0000"/>
        </w:rPr>
      </w:pPr>
      <w:r>
        <w:t>В случае</w:t>
      </w:r>
      <w:proofErr w:type="gramStart"/>
      <w:r>
        <w:t>,</w:t>
      </w:r>
      <w:proofErr w:type="gramEnd"/>
      <w:r>
        <w:t xml:space="preserve"> если общая сумма неуплаченной задолженности превышает 5 процентов цены контракта, но составляет не более 20 процентов цены контракта, и до окончания текущего финансового года поставщик (подрядчик, исполнитель) уплатил 50 процентов задолженности - в дополнение к документам, указанным в </w:t>
      </w:r>
      <w:hyperlink r:id="rId7" w:anchor="31" w:history="1">
        <w:r>
          <w:rPr>
            <w:rStyle w:val="a3"/>
          </w:rPr>
          <w:t>пункте 4.1.</w:t>
        </w:r>
      </w:hyperlink>
      <w:r>
        <w:t>, информация о зачислении</w:t>
      </w:r>
      <w:r>
        <w:tab/>
        <w:t>уплаченных поставщиком (подрядчиком, исполнителем) сумм задолженности.</w:t>
      </w:r>
    </w:p>
    <w:p w:rsidR="000B2D03" w:rsidRDefault="000B2D03" w:rsidP="000B2D03">
      <w:pPr>
        <w:pStyle w:val="a4"/>
        <w:numPr>
          <w:ilvl w:val="0"/>
          <w:numId w:val="2"/>
        </w:numPr>
        <w:tabs>
          <w:tab w:val="left" w:pos="851"/>
        </w:tabs>
        <w:ind w:left="0" w:firstLine="567"/>
        <w:jc w:val="both"/>
      </w:pPr>
      <w:proofErr w:type="gramStart"/>
      <w:r>
        <w:t xml:space="preserve">При возникновении оснований и наличии документов, указанных в пунктах 3-4 настоящего Порядка, заказчик оформляет решение о списании задолженности в соответствии с информацией и документами, включенными в реестр контрактов, и не </w:t>
      </w:r>
      <w:r>
        <w:lastRenderedPageBreak/>
        <w:t xml:space="preserve">позднее 20 рабочих дней со дня наступления соответствующего основания направляет поставщику (подрядчику, исполнителю) уведомление о списании начисленной и неуплаченной задолженности с указанием ее размера по форме согласно </w:t>
      </w:r>
      <w:hyperlink r:id="rId8" w:anchor="1100" w:history="1">
        <w:r>
          <w:rPr>
            <w:rStyle w:val="a3"/>
          </w:rPr>
          <w:t>приложению</w:t>
        </w:r>
      </w:hyperlink>
      <w:r>
        <w:t xml:space="preserve"> к настоящему</w:t>
      </w:r>
      <w:proofErr w:type="gramEnd"/>
      <w:r>
        <w:t xml:space="preserve"> Порядку.</w:t>
      </w:r>
    </w:p>
    <w:p w:rsidR="000B2D03" w:rsidRDefault="000B2D03" w:rsidP="000B2D03">
      <w:pPr>
        <w:pStyle w:val="a4"/>
        <w:numPr>
          <w:ilvl w:val="0"/>
          <w:numId w:val="2"/>
        </w:numPr>
        <w:tabs>
          <w:tab w:val="left" w:pos="851"/>
        </w:tabs>
        <w:ind w:left="0" w:firstLine="567"/>
        <w:jc w:val="both"/>
      </w:pPr>
      <w:r>
        <w:t>Решение о списании задолженности (далее - решение) принимается комиссией по поступлению и выбытию активов заказчика, оформляется распорядительным документом заказчика (распоряжением), содержащим информацию о сумме неуплаченной задолженности.</w:t>
      </w:r>
    </w:p>
    <w:p w:rsidR="000B2D03" w:rsidRDefault="000B2D03" w:rsidP="000B2D03">
      <w:pPr>
        <w:pStyle w:val="a4"/>
        <w:numPr>
          <w:ilvl w:val="0"/>
          <w:numId w:val="2"/>
        </w:numPr>
        <w:tabs>
          <w:tab w:val="left" w:pos="851"/>
        </w:tabs>
        <w:ind w:left="0" w:firstLine="567"/>
        <w:jc w:val="both"/>
      </w:pPr>
      <w:r>
        <w:t>Заказчик уведомляет в письменной форме поставщика (подрядчика, исполнителя) об осуществлении списания начисленных сумм неустоек (штрафов, пеней).</w:t>
      </w:r>
    </w:p>
    <w:p w:rsidR="000B2D03" w:rsidRDefault="000B2D03" w:rsidP="000B2D03">
      <w:pPr>
        <w:pStyle w:val="a4"/>
        <w:numPr>
          <w:ilvl w:val="0"/>
          <w:numId w:val="2"/>
        </w:numPr>
        <w:tabs>
          <w:tab w:val="left" w:pos="851"/>
        </w:tabs>
        <w:ind w:left="0" w:firstLine="567"/>
        <w:jc w:val="both"/>
      </w:pPr>
      <w:r>
        <w:t>Списание задолженности, не подтвержденное поставщиком (подрядчиком, исполнителем), не допускается.</w:t>
      </w:r>
    </w:p>
    <w:p w:rsidR="00573A30" w:rsidRDefault="00573A30">
      <w:bookmarkStart w:id="0" w:name="_GoBack"/>
      <w:bookmarkEnd w:id="0"/>
    </w:p>
    <w:sectPr w:rsidR="00573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2AA3"/>
    <w:multiLevelType w:val="hybridMultilevel"/>
    <w:tmpl w:val="7CD09946"/>
    <w:lvl w:ilvl="0" w:tplc="7E8C2834">
      <w:start w:val="1"/>
      <w:numFmt w:val="decimal"/>
      <w:lvlText w:val="%1."/>
      <w:lvlJc w:val="left"/>
      <w:pPr>
        <w:ind w:left="101" w:hanging="425"/>
      </w:pPr>
      <w:rPr>
        <w:rFonts w:ascii="Times New Roman" w:eastAsia="Times New Roman" w:hAnsi="Times New Roman" w:cs="Times New Roman" w:hint="default"/>
        <w:spacing w:val="0"/>
        <w:w w:val="100"/>
        <w:sz w:val="24"/>
        <w:szCs w:val="24"/>
      </w:rPr>
    </w:lvl>
    <w:lvl w:ilvl="1" w:tplc="05B070EE">
      <w:numFmt w:val="bullet"/>
      <w:lvlText w:val="•"/>
      <w:lvlJc w:val="left"/>
      <w:pPr>
        <w:ind w:left="1046" w:hanging="425"/>
      </w:pPr>
    </w:lvl>
    <w:lvl w:ilvl="2" w:tplc="D60075CE">
      <w:numFmt w:val="bullet"/>
      <w:lvlText w:val="•"/>
      <w:lvlJc w:val="left"/>
      <w:pPr>
        <w:ind w:left="1993" w:hanging="425"/>
      </w:pPr>
    </w:lvl>
    <w:lvl w:ilvl="3" w:tplc="BD5605B0">
      <w:numFmt w:val="bullet"/>
      <w:lvlText w:val="•"/>
      <w:lvlJc w:val="left"/>
      <w:pPr>
        <w:ind w:left="2939" w:hanging="425"/>
      </w:pPr>
    </w:lvl>
    <w:lvl w:ilvl="4" w:tplc="AC585CBE">
      <w:numFmt w:val="bullet"/>
      <w:lvlText w:val="•"/>
      <w:lvlJc w:val="left"/>
      <w:pPr>
        <w:ind w:left="3886" w:hanging="425"/>
      </w:pPr>
    </w:lvl>
    <w:lvl w:ilvl="5" w:tplc="7EC26F14">
      <w:numFmt w:val="bullet"/>
      <w:lvlText w:val="•"/>
      <w:lvlJc w:val="left"/>
      <w:pPr>
        <w:ind w:left="4832" w:hanging="425"/>
      </w:pPr>
    </w:lvl>
    <w:lvl w:ilvl="6" w:tplc="D1240D04">
      <w:numFmt w:val="bullet"/>
      <w:lvlText w:val="•"/>
      <w:lvlJc w:val="left"/>
      <w:pPr>
        <w:ind w:left="5779" w:hanging="425"/>
      </w:pPr>
    </w:lvl>
    <w:lvl w:ilvl="7" w:tplc="CA0234C4">
      <w:numFmt w:val="bullet"/>
      <w:lvlText w:val="•"/>
      <w:lvlJc w:val="left"/>
      <w:pPr>
        <w:ind w:left="6725" w:hanging="425"/>
      </w:pPr>
    </w:lvl>
    <w:lvl w:ilvl="8" w:tplc="C9EAA582">
      <w:numFmt w:val="bullet"/>
      <w:lvlText w:val="•"/>
      <w:lvlJc w:val="left"/>
      <w:pPr>
        <w:ind w:left="7672" w:hanging="425"/>
      </w:pPr>
    </w:lvl>
  </w:abstractNum>
  <w:abstractNum w:abstractNumId="1">
    <w:nsid w:val="39715C06"/>
    <w:multiLevelType w:val="multilevel"/>
    <w:tmpl w:val="D59C4E9C"/>
    <w:lvl w:ilvl="0">
      <w:start w:val="3"/>
      <w:numFmt w:val="decimal"/>
      <w:lvlText w:val="%1."/>
      <w:lvlJc w:val="left"/>
      <w:pPr>
        <w:ind w:left="644" w:hanging="360"/>
      </w:pPr>
    </w:lvl>
    <w:lvl w:ilvl="1">
      <w:start w:val="1"/>
      <w:numFmt w:val="decimal"/>
      <w:isLgl/>
      <w:lvlText w:val="%1.%2."/>
      <w:lvlJc w:val="left"/>
      <w:pPr>
        <w:ind w:left="1004" w:hanging="360"/>
      </w:pPr>
      <w:rPr>
        <w:color w:val="auto"/>
      </w:r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68"/>
    <w:rsid w:val="0001415C"/>
    <w:rsid w:val="00015105"/>
    <w:rsid w:val="00015CB4"/>
    <w:rsid w:val="00020D42"/>
    <w:rsid w:val="00030779"/>
    <w:rsid w:val="00030FE0"/>
    <w:rsid w:val="00046116"/>
    <w:rsid w:val="00051C93"/>
    <w:rsid w:val="00053C06"/>
    <w:rsid w:val="00060617"/>
    <w:rsid w:val="000802B1"/>
    <w:rsid w:val="00080C20"/>
    <w:rsid w:val="000848E7"/>
    <w:rsid w:val="000A0E70"/>
    <w:rsid w:val="000B2D03"/>
    <w:rsid w:val="000B7E54"/>
    <w:rsid w:val="000C0FD2"/>
    <w:rsid w:val="000C5EB3"/>
    <w:rsid w:val="000D0CC6"/>
    <w:rsid w:val="000D6441"/>
    <w:rsid w:val="000D77CC"/>
    <w:rsid w:val="000E1AED"/>
    <w:rsid w:val="000E73BA"/>
    <w:rsid w:val="000F46B5"/>
    <w:rsid w:val="00106039"/>
    <w:rsid w:val="00113514"/>
    <w:rsid w:val="00117A63"/>
    <w:rsid w:val="001351A4"/>
    <w:rsid w:val="001354B9"/>
    <w:rsid w:val="001505EA"/>
    <w:rsid w:val="0015463C"/>
    <w:rsid w:val="00157C4D"/>
    <w:rsid w:val="001854AA"/>
    <w:rsid w:val="00185F81"/>
    <w:rsid w:val="001860E1"/>
    <w:rsid w:val="0019032D"/>
    <w:rsid w:val="00191E70"/>
    <w:rsid w:val="001B15FA"/>
    <w:rsid w:val="001B511E"/>
    <w:rsid w:val="001C385E"/>
    <w:rsid w:val="001C57E1"/>
    <w:rsid w:val="001D681D"/>
    <w:rsid w:val="001E2FCB"/>
    <w:rsid w:val="001F18DB"/>
    <w:rsid w:val="001F6CD6"/>
    <w:rsid w:val="00205077"/>
    <w:rsid w:val="00230CF7"/>
    <w:rsid w:val="00235B03"/>
    <w:rsid w:val="00250595"/>
    <w:rsid w:val="0025242B"/>
    <w:rsid w:val="0027735D"/>
    <w:rsid w:val="002830A7"/>
    <w:rsid w:val="002840B6"/>
    <w:rsid w:val="00287A53"/>
    <w:rsid w:val="00290FC2"/>
    <w:rsid w:val="00292799"/>
    <w:rsid w:val="002A274A"/>
    <w:rsid w:val="002B1B02"/>
    <w:rsid w:val="002B4DB7"/>
    <w:rsid w:val="002C489E"/>
    <w:rsid w:val="002C68CF"/>
    <w:rsid w:val="002D1411"/>
    <w:rsid w:val="002E5F5B"/>
    <w:rsid w:val="00304D7D"/>
    <w:rsid w:val="00315D23"/>
    <w:rsid w:val="00317749"/>
    <w:rsid w:val="00331D79"/>
    <w:rsid w:val="003367E7"/>
    <w:rsid w:val="00337C0E"/>
    <w:rsid w:val="00360A43"/>
    <w:rsid w:val="003632AD"/>
    <w:rsid w:val="00373411"/>
    <w:rsid w:val="00385EB7"/>
    <w:rsid w:val="003914F0"/>
    <w:rsid w:val="00393146"/>
    <w:rsid w:val="003945BD"/>
    <w:rsid w:val="003B4F53"/>
    <w:rsid w:val="003B759A"/>
    <w:rsid w:val="003E6775"/>
    <w:rsid w:val="003E78A6"/>
    <w:rsid w:val="00406930"/>
    <w:rsid w:val="00450918"/>
    <w:rsid w:val="00453D39"/>
    <w:rsid w:val="00466E92"/>
    <w:rsid w:val="00485CD0"/>
    <w:rsid w:val="00490D96"/>
    <w:rsid w:val="004A30AD"/>
    <w:rsid w:val="004A7056"/>
    <w:rsid w:val="004A72CF"/>
    <w:rsid w:val="004B3DCE"/>
    <w:rsid w:val="004B5E57"/>
    <w:rsid w:val="004D185C"/>
    <w:rsid w:val="004F0DBC"/>
    <w:rsid w:val="004F2C4A"/>
    <w:rsid w:val="004F4E3E"/>
    <w:rsid w:val="00515242"/>
    <w:rsid w:val="005155B5"/>
    <w:rsid w:val="005158F5"/>
    <w:rsid w:val="00516F00"/>
    <w:rsid w:val="005228E0"/>
    <w:rsid w:val="00523B78"/>
    <w:rsid w:val="005272FD"/>
    <w:rsid w:val="00532F3B"/>
    <w:rsid w:val="005350BC"/>
    <w:rsid w:val="005417DE"/>
    <w:rsid w:val="005418FB"/>
    <w:rsid w:val="0054449C"/>
    <w:rsid w:val="00554A98"/>
    <w:rsid w:val="00554BDA"/>
    <w:rsid w:val="005641E2"/>
    <w:rsid w:val="00573A30"/>
    <w:rsid w:val="00574510"/>
    <w:rsid w:val="005762D5"/>
    <w:rsid w:val="005929A1"/>
    <w:rsid w:val="005A049D"/>
    <w:rsid w:val="005A08D5"/>
    <w:rsid w:val="005A28BB"/>
    <w:rsid w:val="005B72D6"/>
    <w:rsid w:val="005B7588"/>
    <w:rsid w:val="005E0773"/>
    <w:rsid w:val="005E5468"/>
    <w:rsid w:val="005E6100"/>
    <w:rsid w:val="005F4371"/>
    <w:rsid w:val="00600FC9"/>
    <w:rsid w:val="006147B4"/>
    <w:rsid w:val="00635459"/>
    <w:rsid w:val="00636036"/>
    <w:rsid w:val="0064508E"/>
    <w:rsid w:val="00646CBC"/>
    <w:rsid w:val="00650168"/>
    <w:rsid w:val="006561A3"/>
    <w:rsid w:val="006602AF"/>
    <w:rsid w:val="00664996"/>
    <w:rsid w:val="00664BD5"/>
    <w:rsid w:val="0067647A"/>
    <w:rsid w:val="006810FB"/>
    <w:rsid w:val="0069415F"/>
    <w:rsid w:val="00694204"/>
    <w:rsid w:val="00696756"/>
    <w:rsid w:val="00696C93"/>
    <w:rsid w:val="006A474A"/>
    <w:rsid w:val="006A67CB"/>
    <w:rsid w:val="006B05B0"/>
    <w:rsid w:val="006C6306"/>
    <w:rsid w:val="006D1E9C"/>
    <w:rsid w:val="006D6258"/>
    <w:rsid w:val="006D7DE1"/>
    <w:rsid w:val="006E42AF"/>
    <w:rsid w:val="006E5B8E"/>
    <w:rsid w:val="006F7BA4"/>
    <w:rsid w:val="00702F34"/>
    <w:rsid w:val="0071073F"/>
    <w:rsid w:val="00711885"/>
    <w:rsid w:val="00713529"/>
    <w:rsid w:val="00713A9B"/>
    <w:rsid w:val="00730864"/>
    <w:rsid w:val="007308C4"/>
    <w:rsid w:val="00734AF2"/>
    <w:rsid w:val="0073593B"/>
    <w:rsid w:val="00752632"/>
    <w:rsid w:val="00752648"/>
    <w:rsid w:val="00765434"/>
    <w:rsid w:val="0077009E"/>
    <w:rsid w:val="00772D99"/>
    <w:rsid w:val="00777714"/>
    <w:rsid w:val="00785C72"/>
    <w:rsid w:val="007913D2"/>
    <w:rsid w:val="00794816"/>
    <w:rsid w:val="007A0463"/>
    <w:rsid w:val="007A1FEA"/>
    <w:rsid w:val="007A2C83"/>
    <w:rsid w:val="007A3EF6"/>
    <w:rsid w:val="007A4537"/>
    <w:rsid w:val="007A5D69"/>
    <w:rsid w:val="007B0A76"/>
    <w:rsid w:val="007C2D07"/>
    <w:rsid w:val="007C4DCB"/>
    <w:rsid w:val="007C6558"/>
    <w:rsid w:val="007D6E96"/>
    <w:rsid w:val="007E0976"/>
    <w:rsid w:val="007E5867"/>
    <w:rsid w:val="007F3DDD"/>
    <w:rsid w:val="00800A7E"/>
    <w:rsid w:val="00801F8C"/>
    <w:rsid w:val="00802FC1"/>
    <w:rsid w:val="0080364E"/>
    <w:rsid w:val="00810B6B"/>
    <w:rsid w:val="00822BD4"/>
    <w:rsid w:val="00823AFC"/>
    <w:rsid w:val="00841A54"/>
    <w:rsid w:val="00841D5E"/>
    <w:rsid w:val="00855940"/>
    <w:rsid w:val="008743C3"/>
    <w:rsid w:val="00876BBC"/>
    <w:rsid w:val="0089280D"/>
    <w:rsid w:val="008B12A7"/>
    <w:rsid w:val="008B1ADA"/>
    <w:rsid w:val="008B3E78"/>
    <w:rsid w:val="008C4102"/>
    <w:rsid w:val="008C7D0A"/>
    <w:rsid w:val="008D39FD"/>
    <w:rsid w:val="008E5FC4"/>
    <w:rsid w:val="008F5D4F"/>
    <w:rsid w:val="008F6320"/>
    <w:rsid w:val="00902310"/>
    <w:rsid w:val="00930935"/>
    <w:rsid w:val="00931947"/>
    <w:rsid w:val="00933364"/>
    <w:rsid w:val="00933AAE"/>
    <w:rsid w:val="00944DEB"/>
    <w:rsid w:val="0094613D"/>
    <w:rsid w:val="009613E0"/>
    <w:rsid w:val="00971E9B"/>
    <w:rsid w:val="0097347F"/>
    <w:rsid w:val="00973CC0"/>
    <w:rsid w:val="00974594"/>
    <w:rsid w:val="00996165"/>
    <w:rsid w:val="009B1AEE"/>
    <w:rsid w:val="009B660A"/>
    <w:rsid w:val="009B77C3"/>
    <w:rsid w:val="009D11C8"/>
    <w:rsid w:val="009D5B38"/>
    <w:rsid w:val="009F037F"/>
    <w:rsid w:val="009F7593"/>
    <w:rsid w:val="00A05FF9"/>
    <w:rsid w:val="00A23F08"/>
    <w:rsid w:val="00A2481A"/>
    <w:rsid w:val="00A24C60"/>
    <w:rsid w:val="00A27883"/>
    <w:rsid w:val="00A36B43"/>
    <w:rsid w:val="00A47AE2"/>
    <w:rsid w:val="00A67B7A"/>
    <w:rsid w:val="00A706AC"/>
    <w:rsid w:val="00A751CA"/>
    <w:rsid w:val="00A77340"/>
    <w:rsid w:val="00A821D9"/>
    <w:rsid w:val="00A86508"/>
    <w:rsid w:val="00A87C51"/>
    <w:rsid w:val="00A95013"/>
    <w:rsid w:val="00A9597C"/>
    <w:rsid w:val="00A9746A"/>
    <w:rsid w:val="00AA5D45"/>
    <w:rsid w:val="00AA6A62"/>
    <w:rsid w:val="00AC359C"/>
    <w:rsid w:val="00AC5E55"/>
    <w:rsid w:val="00AD71BB"/>
    <w:rsid w:val="00AD7DCA"/>
    <w:rsid w:val="00AE2685"/>
    <w:rsid w:val="00AF3D30"/>
    <w:rsid w:val="00B01BAE"/>
    <w:rsid w:val="00B02D19"/>
    <w:rsid w:val="00B14472"/>
    <w:rsid w:val="00B3310F"/>
    <w:rsid w:val="00B35B52"/>
    <w:rsid w:val="00B83E67"/>
    <w:rsid w:val="00B8651C"/>
    <w:rsid w:val="00BA5F11"/>
    <w:rsid w:val="00BB2A0C"/>
    <w:rsid w:val="00BB624B"/>
    <w:rsid w:val="00BB7F01"/>
    <w:rsid w:val="00BC719C"/>
    <w:rsid w:val="00BE3C07"/>
    <w:rsid w:val="00BE4A80"/>
    <w:rsid w:val="00BF0C64"/>
    <w:rsid w:val="00BF1447"/>
    <w:rsid w:val="00C007B5"/>
    <w:rsid w:val="00C06129"/>
    <w:rsid w:val="00C06407"/>
    <w:rsid w:val="00C131B1"/>
    <w:rsid w:val="00C27DB9"/>
    <w:rsid w:val="00C33581"/>
    <w:rsid w:val="00C34AD7"/>
    <w:rsid w:val="00C355B4"/>
    <w:rsid w:val="00C511C2"/>
    <w:rsid w:val="00C55C78"/>
    <w:rsid w:val="00C56660"/>
    <w:rsid w:val="00C66767"/>
    <w:rsid w:val="00C70DC0"/>
    <w:rsid w:val="00C72F85"/>
    <w:rsid w:val="00C84AF9"/>
    <w:rsid w:val="00C85C00"/>
    <w:rsid w:val="00C868E3"/>
    <w:rsid w:val="00C9012A"/>
    <w:rsid w:val="00C92029"/>
    <w:rsid w:val="00CA420F"/>
    <w:rsid w:val="00CB036C"/>
    <w:rsid w:val="00CB4C9B"/>
    <w:rsid w:val="00CC2FB6"/>
    <w:rsid w:val="00CC6470"/>
    <w:rsid w:val="00CD6469"/>
    <w:rsid w:val="00CD757B"/>
    <w:rsid w:val="00CE0F9D"/>
    <w:rsid w:val="00CE12CD"/>
    <w:rsid w:val="00CE21DF"/>
    <w:rsid w:val="00CE437F"/>
    <w:rsid w:val="00CE5AFF"/>
    <w:rsid w:val="00CE7135"/>
    <w:rsid w:val="00D05B01"/>
    <w:rsid w:val="00D1279B"/>
    <w:rsid w:val="00D138EA"/>
    <w:rsid w:val="00D26262"/>
    <w:rsid w:val="00D3006A"/>
    <w:rsid w:val="00D30910"/>
    <w:rsid w:val="00D35B3A"/>
    <w:rsid w:val="00D40EC7"/>
    <w:rsid w:val="00D42E6C"/>
    <w:rsid w:val="00D45153"/>
    <w:rsid w:val="00D45932"/>
    <w:rsid w:val="00D544B0"/>
    <w:rsid w:val="00D54D23"/>
    <w:rsid w:val="00D56619"/>
    <w:rsid w:val="00D56B5C"/>
    <w:rsid w:val="00D65CB3"/>
    <w:rsid w:val="00D8439E"/>
    <w:rsid w:val="00D93065"/>
    <w:rsid w:val="00DA01CF"/>
    <w:rsid w:val="00DB1331"/>
    <w:rsid w:val="00DB7032"/>
    <w:rsid w:val="00DB70B8"/>
    <w:rsid w:val="00DC2ECA"/>
    <w:rsid w:val="00DE746C"/>
    <w:rsid w:val="00DF5401"/>
    <w:rsid w:val="00E229F6"/>
    <w:rsid w:val="00E2325E"/>
    <w:rsid w:val="00E24670"/>
    <w:rsid w:val="00E30851"/>
    <w:rsid w:val="00E3401D"/>
    <w:rsid w:val="00E73E49"/>
    <w:rsid w:val="00E767D5"/>
    <w:rsid w:val="00E856D5"/>
    <w:rsid w:val="00E85AC8"/>
    <w:rsid w:val="00E94862"/>
    <w:rsid w:val="00EA2744"/>
    <w:rsid w:val="00EA2B5B"/>
    <w:rsid w:val="00EB6F1F"/>
    <w:rsid w:val="00EC1410"/>
    <w:rsid w:val="00EC25B8"/>
    <w:rsid w:val="00EC43AD"/>
    <w:rsid w:val="00EC65D2"/>
    <w:rsid w:val="00EF611F"/>
    <w:rsid w:val="00F00774"/>
    <w:rsid w:val="00F036C6"/>
    <w:rsid w:val="00F05440"/>
    <w:rsid w:val="00F06535"/>
    <w:rsid w:val="00F25CB7"/>
    <w:rsid w:val="00F315E1"/>
    <w:rsid w:val="00F33C46"/>
    <w:rsid w:val="00F343A8"/>
    <w:rsid w:val="00F403BC"/>
    <w:rsid w:val="00F42685"/>
    <w:rsid w:val="00F52B5F"/>
    <w:rsid w:val="00F72129"/>
    <w:rsid w:val="00F84A4E"/>
    <w:rsid w:val="00F94F3F"/>
    <w:rsid w:val="00FA4AEA"/>
    <w:rsid w:val="00FA6AFC"/>
    <w:rsid w:val="00FB4BC2"/>
    <w:rsid w:val="00FD3324"/>
    <w:rsid w:val="00FD60EE"/>
    <w:rsid w:val="00FE0A45"/>
    <w:rsid w:val="00FE0A91"/>
    <w:rsid w:val="00FF2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B2D03"/>
    <w:rPr>
      <w:color w:val="0000FF"/>
      <w:u w:val="single"/>
    </w:rPr>
  </w:style>
  <w:style w:type="paragraph" w:styleId="a4">
    <w:name w:val="Normal (Web)"/>
    <w:basedOn w:val="a"/>
    <w:uiPriority w:val="99"/>
    <w:semiHidden/>
    <w:unhideWhenUsed/>
    <w:rsid w:val="000B2D03"/>
    <w:pPr>
      <w:spacing w:before="100" w:beforeAutospacing="1" w:after="100" w:afterAutospacing="1"/>
    </w:pPr>
  </w:style>
  <w:style w:type="paragraph" w:styleId="a5">
    <w:name w:val="List Paragraph"/>
    <w:basedOn w:val="a"/>
    <w:uiPriority w:val="1"/>
    <w:qFormat/>
    <w:rsid w:val="000B2D03"/>
    <w:pPr>
      <w:widowControl w:val="0"/>
      <w:spacing w:before="2"/>
      <w:ind w:left="101" w:right="105" w:firstLine="708"/>
      <w:jc w:val="both"/>
    </w:pPr>
    <w:rPr>
      <w:sz w:val="22"/>
      <w:szCs w:val="22"/>
      <w:lang w:val="en-US" w:eastAsia="en-US"/>
    </w:rPr>
  </w:style>
  <w:style w:type="paragraph" w:customStyle="1" w:styleId="ConsPlusNormal">
    <w:name w:val="ConsPlusNormal"/>
    <w:uiPriority w:val="99"/>
    <w:rsid w:val="000B2D0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B2D03"/>
    <w:rPr>
      <w:color w:val="0000FF"/>
      <w:u w:val="single"/>
    </w:rPr>
  </w:style>
  <w:style w:type="paragraph" w:styleId="a4">
    <w:name w:val="Normal (Web)"/>
    <w:basedOn w:val="a"/>
    <w:uiPriority w:val="99"/>
    <w:semiHidden/>
    <w:unhideWhenUsed/>
    <w:rsid w:val="000B2D03"/>
    <w:pPr>
      <w:spacing w:before="100" w:beforeAutospacing="1" w:after="100" w:afterAutospacing="1"/>
    </w:pPr>
  </w:style>
  <w:style w:type="paragraph" w:styleId="a5">
    <w:name w:val="List Paragraph"/>
    <w:basedOn w:val="a"/>
    <w:uiPriority w:val="1"/>
    <w:qFormat/>
    <w:rsid w:val="000B2D03"/>
    <w:pPr>
      <w:widowControl w:val="0"/>
      <w:spacing w:before="2"/>
      <w:ind w:left="101" w:right="105" w:firstLine="708"/>
      <w:jc w:val="both"/>
    </w:pPr>
    <w:rPr>
      <w:sz w:val="22"/>
      <w:szCs w:val="22"/>
      <w:lang w:val="en-US" w:eastAsia="en-US"/>
    </w:rPr>
  </w:style>
  <w:style w:type="paragraph" w:customStyle="1" w:styleId="ConsPlusNormal">
    <w:name w:val="ConsPlusNormal"/>
    <w:uiPriority w:val="99"/>
    <w:rsid w:val="000B2D0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269694/" TargetMode="External"/><Relationship Id="rId3" Type="http://schemas.microsoft.com/office/2007/relationships/stylesWithEffects" Target="stylesWithEffects.xml"/><Relationship Id="rId7" Type="http://schemas.openxmlformats.org/officeDocument/2006/relationships/hyperlink" Target="http://www.garant.ru/products/ipo/prime/doc/71269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126969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2</cp:revision>
  <dcterms:created xsi:type="dcterms:W3CDTF">2016-09-16T13:07:00Z</dcterms:created>
  <dcterms:modified xsi:type="dcterms:W3CDTF">2016-09-16T13:07:00Z</dcterms:modified>
</cp:coreProperties>
</file>