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F" w:rsidRPr="002326DF" w:rsidRDefault="00BE3FEB" w:rsidP="00BE3FEB">
      <w:pPr>
        <w:pageBreakBefore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286250"/>
            <wp:effectExtent l="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3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BE3FEB" w:rsidRPr="002326DF" w:rsidRDefault="00BE3FEB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6DF" w:rsidRPr="002326DF" w:rsidRDefault="002326DF" w:rsidP="00A27B1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Экологич</w:t>
      </w:r>
      <w:bookmarkStart w:id="0" w:name="_GoBack"/>
      <w:bookmarkEnd w:id="0"/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t>еская безопасность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антропогенными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Тем более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что человек быстро учиться их прогнозировать и предупреждать.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угроз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Глобальный уровень управления экологической безопасностью предполагает прогнозирование и отслеживание процессов в состоянии биосферы </w:t>
      </w:r>
      <w:r w:rsidR="00A27B19">
        <w:rPr>
          <w:rFonts w:ascii="Times New Roman" w:hAnsi="Times New Roman" w:cs="Times New Roman"/>
          <w:sz w:val="24"/>
          <w:szCs w:val="24"/>
          <w:lang w:eastAsia="ru-RU"/>
        </w:rPr>
        <w:t>в целом и составляющих ее сфер.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-новые экологически безопасные технологии;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глобальному уровням.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социоприродные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Критерии экологической безопасности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техноемкости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1) в сфере обеспечения экологической безопасности в регионе, на урбанизированных территориях: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поэтапная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производства, внедрение экологически безопасных технологий;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573DE" wp14:editId="2E8AC6EB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Рис. 1. Принципиальная схема обеспечения экологической безопасно</w:t>
      </w:r>
      <w:r w:rsidR="00BE3FEB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урбанизированных территорий региона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2) в сфере охраны окружающей природной среды и восстановления природных комплексов: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3) в сфере реабилитации здоровья населения, подверженного воздействию загрязненной окружающей среды: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-сочетание административных, нормативных и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-предупреждение ухудшения экологической обстановки;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Это типичное для нашей страны определение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авторегуляции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2326DF" w:rsidRDefault="002326DF" w:rsidP="00A27B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473BD0" w:rsidRDefault="00473BD0"/>
    <w:sectPr w:rsidR="00473BD0" w:rsidSect="00BE3FEB">
      <w:pgSz w:w="11906" w:h="16838"/>
      <w:pgMar w:top="1134" w:right="850" w:bottom="1134" w:left="1134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F"/>
    <w:rsid w:val="002326DF"/>
    <w:rsid w:val="00473BD0"/>
    <w:rsid w:val="00A27B19"/>
    <w:rsid w:val="00B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2017-07-10T07:03:00Z</dcterms:created>
  <dcterms:modified xsi:type="dcterms:W3CDTF">2020-04-07T10:27:00Z</dcterms:modified>
</cp:coreProperties>
</file>