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92AD" w14:textId="77777777" w:rsidR="0049122C" w:rsidRDefault="0049122C" w:rsidP="0049122C">
      <w:pPr>
        <w:rPr>
          <w:rFonts w:ascii="Times New Roman" w:hAnsi="Times New Roman"/>
          <w:b/>
          <w:color w:val="333333"/>
          <w:sz w:val="28"/>
        </w:rPr>
      </w:pPr>
      <w:r>
        <w:rPr>
          <w:noProof/>
        </w:rPr>
        <w:pict w14:anchorId="2EDDDED5"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56.1pt;margin-top:44.4pt;width:164.85pt;height:7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" strokecolor="white">
            <v:textbox>
              <w:txbxContent>
                <w:p w14:paraId="10BA58F0" w14:textId="77777777" w:rsidR="0049122C" w:rsidRDefault="0049122C" w:rsidP="0049122C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Управление Федеральной службы</w:t>
                  </w:r>
                </w:p>
                <w:p w14:paraId="57F2B492" w14:textId="77777777" w:rsidR="0049122C" w:rsidRDefault="0049122C" w:rsidP="0049122C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 xml:space="preserve">государственной регистрации, </w:t>
                  </w:r>
                </w:p>
                <w:p w14:paraId="15062686" w14:textId="77777777" w:rsidR="0049122C" w:rsidRDefault="0049122C" w:rsidP="0049122C">
                  <w:pPr>
                    <w:spacing w:line="240" w:lineRule="auto"/>
                    <w:rPr>
                      <w:rFonts w:ascii="Segoe UI" w:hAnsi="Segoe UI"/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кадастра и картографии</w:t>
                  </w:r>
                </w:p>
                <w:p w14:paraId="2800A238" w14:textId="77777777" w:rsidR="0049122C" w:rsidRDefault="0049122C" w:rsidP="0049122C">
                  <w:pPr>
                    <w:spacing w:line="240" w:lineRule="auto"/>
                    <w:rPr>
                      <w:color w:val="006FB8"/>
                      <w:sz w:val="16"/>
                    </w:rPr>
                  </w:pPr>
                  <w:r>
                    <w:rPr>
                      <w:rFonts w:ascii="Segoe UI" w:hAnsi="Segoe UI"/>
                      <w:b/>
                      <w:color w:val="006FB8"/>
                      <w:sz w:val="16"/>
                    </w:rPr>
                    <w:t>по Ямало-Ненецкому автономному округу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4975DB07" wp14:editId="49606FC3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EC8D" w14:textId="77777777" w:rsidR="0049122C" w:rsidRDefault="0049122C">
      <w:pPr>
        <w:spacing w:after="255"/>
        <w:jc w:val="center"/>
        <w:rPr>
          <w:rFonts w:ascii="Times New Roman" w:hAnsi="Times New Roman"/>
          <w:sz w:val="28"/>
          <w:highlight w:val="white"/>
        </w:rPr>
      </w:pPr>
    </w:p>
    <w:p w14:paraId="01000000" w14:textId="25D49353" w:rsidR="00A02573" w:rsidRPr="0049122C" w:rsidRDefault="00C14152" w:rsidP="0049122C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Комплексные кадастровые работы</w:t>
      </w:r>
      <w:bookmarkStart w:id="0" w:name="_GoBack"/>
      <w:bookmarkEnd w:id="0"/>
    </w:p>
    <w:p w14:paraId="03000000" w14:textId="77777777" w:rsidR="00A02573" w:rsidRDefault="00A02573" w:rsidP="0049122C">
      <w:pPr>
        <w:spacing w:line="240" w:lineRule="auto"/>
      </w:pPr>
    </w:p>
    <w:p w14:paraId="04000000" w14:textId="61D69617" w:rsidR="00A02573" w:rsidRPr="0049122C" w:rsidRDefault="00C14152" w:rsidP="0049122C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осдума </w:t>
      </w:r>
      <w:r>
        <w:rPr>
          <w:rFonts w:ascii="Times New Roman" w:hAnsi="Times New Roman"/>
          <w:sz w:val="28"/>
        </w:rPr>
        <w:t>приняла в третьем чтении закон, благодаря которому граждане и юридические лица будут иметь возможность заказывать комплексные кадастровые работы за счет внебюджетных средств, что позволит значительно понизить их стоимость. Сейчас ж</w:t>
      </w:r>
      <w:r>
        <w:rPr>
          <w:rFonts w:ascii="Times New Roman" w:hAnsi="Times New Roman"/>
          <w:sz w:val="28"/>
        </w:rPr>
        <w:t xml:space="preserve">е заказчиками таких работ могут быть органы местного самоуправления, финансируются они за счет средств </w:t>
      </w:r>
      <w:r w:rsidRPr="0049122C">
        <w:rPr>
          <w:rFonts w:ascii="Times New Roman" w:hAnsi="Times New Roman"/>
          <w:color w:val="auto"/>
          <w:sz w:val="28"/>
        </w:rPr>
        <w:t xml:space="preserve">местных бюджетов и субсидий из региональных и федеральных бюджетов. </w:t>
      </w:r>
    </w:p>
    <w:p w14:paraId="05000000" w14:textId="77777777" w:rsidR="00A02573" w:rsidRPr="0049122C" w:rsidRDefault="00C14152" w:rsidP="0049122C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49122C">
        <w:rPr>
          <w:rFonts w:ascii="Times New Roman" w:hAnsi="Times New Roman"/>
          <w:color w:val="auto"/>
          <w:sz w:val="28"/>
        </w:rPr>
        <w:tab/>
      </w:r>
      <w:r w:rsidRPr="0049122C">
        <w:rPr>
          <w:rFonts w:ascii="Times New Roman" w:hAnsi="Times New Roman"/>
          <w:color w:val="auto"/>
          <w:sz w:val="28"/>
          <w:highlight w:val="white"/>
        </w:rPr>
        <w:t>При выполнении комплексных работ за счет бюджета их цена в пересчете на один участо</w:t>
      </w:r>
      <w:r w:rsidRPr="0049122C">
        <w:rPr>
          <w:rFonts w:ascii="Times New Roman" w:hAnsi="Times New Roman"/>
          <w:color w:val="auto"/>
          <w:sz w:val="28"/>
          <w:highlight w:val="white"/>
        </w:rPr>
        <w:t>к составляет около 1,2 тыс. руб. Стоимость кадастровых работ, выполняемых индивидуально в отношении аналогичного участка, может превышать это значение в десять и более раз.</w:t>
      </w:r>
    </w:p>
    <w:p w14:paraId="06000000" w14:textId="77777777" w:rsidR="00A02573" w:rsidRPr="0049122C" w:rsidRDefault="00C14152" w:rsidP="0049122C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49122C">
        <w:rPr>
          <w:rFonts w:ascii="Times New Roman" w:hAnsi="Times New Roman"/>
          <w:b/>
          <w:color w:val="auto"/>
          <w:sz w:val="28"/>
        </w:rPr>
        <w:tab/>
      </w:r>
      <w:r w:rsidRPr="0049122C">
        <w:rPr>
          <w:rFonts w:ascii="Times New Roman" w:hAnsi="Times New Roman"/>
          <w:color w:val="auto"/>
          <w:sz w:val="28"/>
        </w:rPr>
        <w:t>Комплексные кадастровые работы позволяют выявить и устранить случаи пересечения гр</w:t>
      </w:r>
      <w:r w:rsidRPr="0049122C">
        <w:rPr>
          <w:rFonts w:ascii="Times New Roman" w:hAnsi="Times New Roman"/>
          <w:color w:val="auto"/>
          <w:sz w:val="28"/>
        </w:rPr>
        <w:t xml:space="preserve">аниц и, в определенных случаях, </w:t>
      </w:r>
      <w:proofErr w:type="spellStart"/>
      <w:r w:rsidRPr="0049122C">
        <w:rPr>
          <w:rFonts w:ascii="Times New Roman" w:hAnsi="Times New Roman"/>
          <w:color w:val="auto"/>
          <w:sz w:val="28"/>
        </w:rPr>
        <w:t>самозахвата</w:t>
      </w:r>
      <w:proofErr w:type="spellEnd"/>
      <w:r w:rsidRPr="0049122C">
        <w:rPr>
          <w:rFonts w:ascii="Times New Roman" w:hAnsi="Times New Roman"/>
          <w:color w:val="auto"/>
          <w:sz w:val="28"/>
        </w:rPr>
        <w:t xml:space="preserve"> земель, а также исправить реестровые ошибки. Все это необходимо для качественного управления, распоряжения объектами недвижимости, для защиты прав и интересов собственников, планированию доходов бюджетов всех уро</w:t>
      </w:r>
      <w:r w:rsidRPr="0049122C">
        <w:rPr>
          <w:rFonts w:ascii="Times New Roman" w:hAnsi="Times New Roman"/>
          <w:color w:val="auto"/>
          <w:sz w:val="28"/>
        </w:rPr>
        <w:t>вней в части земельного налога и арендной платы, а также стимулированию инвестиционных процессов и экономики в регионе. Теперь заказ ККР станет доступен садоводческим товариществам, гаражно-строительным кооперативам и другим гражданско-правовым сообществам</w:t>
      </w:r>
      <w:r w:rsidRPr="0049122C">
        <w:rPr>
          <w:rFonts w:ascii="Times New Roman" w:hAnsi="Times New Roman"/>
          <w:color w:val="auto"/>
          <w:sz w:val="28"/>
        </w:rPr>
        <w:t>.</w:t>
      </w:r>
    </w:p>
    <w:p w14:paraId="07000000" w14:textId="534D8413" w:rsidR="00A02573" w:rsidRDefault="00A02573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8000000" w14:textId="77777777" w:rsidR="00A02573" w:rsidRDefault="00A02573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A0257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573"/>
    <w:rsid w:val="0049122C"/>
    <w:rsid w:val="00A02573"/>
    <w:rsid w:val="00C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9C477D-518B-46B8-87E2-881E279E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C14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Закирова Ольга Юрьевна</cp:lastModifiedBy>
  <cp:revision>2</cp:revision>
  <cp:lastPrinted>2021-03-29T12:24:00Z</cp:lastPrinted>
  <dcterms:created xsi:type="dcterms:W3CDTF">2021-03-29T12:12:00Z</dcterms:created>
  <dcterms:modified xsi:type="dcterms:W3CDTF">2021-03-29T12:29:00Z</dcterms:modified>
</cp:coreProperties>
</file>