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Среди происшествий и несчастных случаев, которые подстерегают нас в быту, на одном из первых мест находятся взрывы бытового газа. Из средств массовой информации  видно, что в подобные несчастные случаи происходят с  устойчивым постоянством и  последствия крайне тяжелые.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Избежать неприятности можно!  Иногда достаточно просто соблюдать несложные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требования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такие как Правила пользования газом в быту.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Соблюдая следующие требования, можно существенно снизить риск того, что в Вашей квартире произойдет взрыв бытового газа.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Появление в помещении запаха газа – основной сигнал того, что может произойти взрыв бытового газа. В такой ситуации необходимо немедленно прекратить пользование газовыми приборами, перекрыть газовые краны, не включать и не выключать электроосвещение и электроприборы, не пользоваться электрическими звонками, проветрить помещение и вызвать аварийную службу. Телефон аварийной газовой службы 04, либо, немедленно сообщить в аварийно-диспетчерскую службу Вашей управляющей организации. До приезда аварийной бригады необходимо оповестить окружающих о мерах безопасности.  Вся информация об управляющей организации, аварийных службах, а также контролирующих органов должна быть размещена на информационных досках возле каждого подъезда многоквартирного дома.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Правила пользования газом в быту требуют строгого соответствия помещения, в котором устанавливаются бытовые газовые приборы требованиям нормативных документов. Для правильного функционирования и безопасной эксплуатации газовых приборов необходимо обеспечить постоянный приток свежего воздуха.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Основным прибором потребления бытового газа в современной квартире является газовая плита для приготовления пищи.  Соблюдение правил пользования газовой плитой обязательно для всех членов семьи.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Основные правила пользования газовой плитой не требуют специальных знаний и навыков, но знать их должен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каждый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кто хоть однажды пользовался или планирует пользоваться газовой плитой.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Итак, перед первым включением плиты следует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ознакомится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с паспортом на плиту и рекомендациями завода изготовителя. И помните, что безопасная эксплуатация газовой плиты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возможна только в хорошо проветриваем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помещении! Убедитесь, что в помещении обеспечен достаточный приток воздуха. Затем проверьте, закрыты ли все краники перед верхними горелками и горелкой духового шкафа, и только убедившись, что все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закрыто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откройте кран на газопроводе перед плитой.  Поднести источник огня к краю горелки и откройте соответствующий краник, при этом газ должен загореться во всех огневых отверстиях горелки.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Горение газа должно протекать без отрыва и проскока пламени, которые приводят не только к образованию угарного газа, но и к деформации и разрушению газогорелочных устройств. Обратите внимание на качество пламени, которое должно быть упругим, голубовато-фиолетового цвета, без красно-желтоватого оттенка и высотой не более 2,5 см., при полностью открытом положении краника горелки. Пламя верхних горелок должно лишь слегка соприкасаться с дном установленной посуды и не выходить за ее края, т.к. соприкосновение его холодными поверхностями приводит к химическому недожогу, с последующим образованием угарного газа.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Безопасная эксплуатация газовой плиты, также предусматривает установку специальных конфорочных колец с высокими рёбрами. При использовании посуды с диаметром дна, значительно превышающим диаметр конфорки, необходимо устанавливать специальные конфорочные кольца с высокими ребрами. Кольца облегчают приток необходимого количества воздуха в зону горения и обеспечивают отвод продуктов горения.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Перед розжигом горелки духового шкафа следует открыть дверку и проветрить его в течение 2 – 3 минут, либо проветрить путём резкого открытия и закрытия  дверцы духовки (3-5 раз).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 окончании пользования газом следует закрыть краны на газовой плите и перед ней. 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 xml:space="preserve">При использовании бытовыми газовыми плитами запрещается включение </w:t>
      </w:r>
      <w:proofErr w:type="spell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электророзжига</w:t>
      </w:r>
      <w:proofErr w:type="spell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плиты при снятых горелках стола. Не следует допускать заливания стола плиты водой. Перед чисткой или другими операциями по уходу за плитой, необходимо отсоединить ее от электросети. Верхние горелки, их насадки и другие части плиты надо периодически (не реже 1 раза в месяц) промывать мыльной водой или слабым раствором соды.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Запрещается применять газовые плиты для обогрева помещений и оставлять их без присмотра. В случае внезапного прекращения подачи газа или самопроизвольного погасания пламени немедленно перекрыть газовые краны и сообщить в аварийную газовую службу по телефону 04.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Согласно законодательству Российской Федерации, ответственность за безопасное пользование бытовыми газовыми приборами и их содержание в надлежащем состоянии возлагается на собственников или нанимателей жилых помещений (ст. 210 Гражданского кодекса РФ, ст. 30, 67 Жилищного кодекса РФ).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За нарушение действующего законодательства предусмотрена ответственность в соответствии со ст. 7.21. Кодекса РФ об административных нарушениях. Нарушение элементарных правил пользования газом 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будут нести ответственность, но уже по статьям Уголовного кодекса. 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использующие бытовые газовые приборы, обязаны: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содержать в чистоте газовые плиты, водонагреватели, котлы;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проверять тягу отвода продуктов горения в дымоход до включения и во время работы газовых приборов (при отсутствии тяги прибором пользоваться запрещается);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 окончании пользования газом закрыть краны на приборах;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неисправности газового оборудования вызвать работников газовой аварийной службы;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появлении в помещении запаха газа немедленно прекратить пользование газовыми приборами, открыть форточки, вызвать аварийную службу;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обеспечивать пропуск в жилое помещение работникам аварийной службы для осмотра и ремонта газопроводов и газовых приборов;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следить за состоянием гибкого газового шланга: он не должен быть перекручен, натянут, касаться бытовых электроприборов;</w:t>
      </w:r>
    </w:p>
    <w:p w:rsidR="00027C15" w:rsidRPr="00027C15" w:rsidRDefault="00027C15" w:rsidP="00027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не разрешать детям пользоваться газовыми приборами.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Ремонт и техническое обслуживание газового оборудования должен </w:t>
      </w:r>
      <w:proofErr w:type="gramStart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производится</w:t>
      </w:r>
      <w:proofErr w:type="gramEnd"/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только работниками специализированных организаций. Своевременное техническое обслуживание газоиспользующего оборудования – залог Вашей безопасности и безопасности окружающих Вас людей.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Необходимо также помнить, что к взрыву или пожару в квартире могут привести:</w:t>
      </w:r>
    </w:p>
    <w:p w:rsidR="00027C15" w:rsidRPr="00027C15" w:rsidRDefault="00027C15" w:rsidP="00027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самовольная газификация дома или квартиры, перестановка и замена газовых приборов;</w:t>
      </w:r>
    </w:p>
    <w:p w:rsidR="00027C15" w:rsidRPr="00027C15" w:rsidRDefault="00027C15" w:rsidP="00027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пользование неисправными газовыми плитами, водонагревателями; применение открытого огня для обнаружения утечки газа;</w:t>
      </w:r>
    </w:p>
    <w:p w:rsidR="00027C15" w:rsidRPr="00027C15" w:rsidRDefault="00027C15" w:rsidP="00027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хранение и применение в квартирах баллонов со сжиженными газами.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>Помните</w:t>
      </w:r>
      <w:r w:rsidRPr="00027C15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: Ваша безопасность и безопасность ваших соседей зависит от соблюдения Вами</w:t>
      </w:r>
    </w:p>
    <w:p w:rsidR="00027C15" w:rsidRPr="00027C15" w:rsidRDefault="00027C15" w:rsidP="00027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27C15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правил пользования бытовыми газовыми приборами!</w:t>
      </w:r>
    </w:p>
    <w:p w:rsidR="000E0D94" w:rsidRPr="00027C15" w:rsidRDefault="000E0D94" w:rsidP="00027C15">
      <w:bookmarkStart w:id="0" w:name="_GoBack"/>
      <w:bookmarkEnd w:id="0"/>
    </w:p>
    <w:sectPr w:rsidR="000E0D94" w:rsidRPr="00027C15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179"/>
    <w:multiLevelType w:val="multilevel"/>
    <w:tmpl w:val="1B4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81347"/>
    <w:multiLevelType w:val="multilevel"/>
    <w:tmpl w:val="67A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27C15"/>
    <w:rsid w:val="0006352C"/>
    <w:rsid w:val="00070E92"/>
    <w:rsid w:val="00075B6B"/>
    <w:rsid w:val="00097108"/>
    <w:rsid w:val="000E0D94"/>
    <w:rsid w:val="001175CC"/>
    <w:rsid w:val="001C453E"/>
    <w:rsid w:val="00242F87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860EE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15B19"/>
    <w:rsid w:val="00A40436"/>
    <w:rsid w:val="00B04FB6"/>
    <w:rsid w:val="00B52622"/>
    <w:rsid w:val="00C25F9B"/>
    <w:rsid w:val="00C96D73"/>
    <w:rsid w:val="00D63C9B"/>
    <w:rsid w:val="00EA7DF4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2021-06-08T05:13:00Z</dcterms:created>
  <dcterms:modified xsi:type="dcterms:W3CDTF">2021-06-08T05:13:00Z</dcterms:modified>
</cp:coreProperties>
</file>